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宋体" w:hAnsi="宋体" w:eastAsia="宋体" w:cs="宋体"/>
          <w:sz w:val="44"/>
          <w:szCs w:val="44"/>
        </w:rPr>
      </w:pPr>
      <w:r>
        <w:rPr>
          <w:rFonts w:hint="eastAsia" w:ascii="宋体" w:hAnsi="宋体" w:eastAsia="宋体" w:cs="宋体"/>
          <w:sz w:val="44"/>
          <w:szCs w:val="44"/>
        </w:rPr>
        <w:t>福建省华兴集团有限责任公司网络安全等保测评服务项目技术和服务要求</w:t>
      </w:r>
    </w:p>
    <w:p>
      <w:pPr>
        <w:jc w:val="both"/>
        <w:rPr>
          <w:rFonts w:hint="eastAsia" w:ascii="仿宋_GB2312" w:hAnsi="仿宋_GB2312" w:eastAsia="仿宋_GB2312" w:cs="仿宋_GB2312"/>
          <w:sz w:val="32"/>
          <w:szCs w:val="32"/>
        </w:rPr>
      </w:pPr>
    </w:p>
    <w:p>
      <w:pPr>
        <w:jc w:val="both"/>
        <w:rPr>
          <w:rFonts w:hint="eastAsia" w:ascii="黑体" w:hAnsi="黑体" w:eastAsia="黑体" w:cs="黑体"/>
          <w:sz w:val="32"/>
          <w:szCs w:val="32"/>
        </w:rPr>
      </w:pPr>
      <w:r>
        <w:rPr>
          <w:rFonts w:hint="eastAsia" w:ascii="黑体" w:hAnsi="黑体" w:eastAsia="黑体" w:cs="黑体"/>
          <w:sz w:val="32"/>
          <w:szCs w:val="32"/>
        </w:rPr>
        <w:t>一、项目概况</w:t>
      </w:r>
    </w:p>
    <w:p>
      <w:pPr>
        <w:ind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福建省华兴集团有限责任公司网络安全等保测评服务项目。</w:t>
      </w:r>
    </w:p>
    <w:p>
      <w:pPr>
        <w:ind w:firstLine="643" w:firstLineChars="200"/>
        <w:jc w:val="both"/>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本项目最高限价为人民币9万元整（¥90,000.00），供应商报价不得超过此限价，否则视为无效响应。</w:t>
      </w:r>
    </w:p>
    <w:p>
      <w:pPr>
        <w:jc w:val="both"/>
        <w:rPr>
          <w:rFonts w:hint="eastAsia" w:ascii="黑体" w:hAnsi="黑体" w:eastAsia="黑体" w:cs="黑体"/>
          <w:sz w:val="32"/>
          <w:szCs w:val="32"/>
        </w:rPr>
      </w:pPr>
      <w:r>
        <w:rPr>
          <w:rFonts w:hint="eastAsia" w:ascii="黑体" w:hAnsi="黑体" w:eastAsia="黑体" w:cs="黑体"/>
          <w:sz w:val="32"/>
          <w:szCs w:val="32"/>
        </w:rPr>
        <w:t>二、资质要求（以"★"标示的内容为不允许负偏离的实质性要求）</w:t>
      </w:r>
    </w:p>
    <w:p>
      <w:pPr>
        <w:ind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★供应商须自持公安部第三研究所认定的</w:t>
      </w:r>
      <w:r>
        <w:rPr>
          <w:rFonts w:hint="eastAsia" w:ascii="仿宋_GB2312" w:hAnsi="仿宋_GB2312" w:eastAsia="仿宋_GB2312" w:cs="仿宋_GB2312"/>
          <w:color w:val="auto"/>
          <w:kern w:val="2"/>
          <w:sz w:val="32"/>
          <w:szCs w:val="32"/>
        </w:rPr>
        <w:t>《网络安全</w:t>
      </w:r>
      <w:r>
        <w:rPr>
          <w:rFonts w:hint="eastAsia" w:ascii="仿宋_GB2312" w:hAnsi="仿宋_GB2312" w:eastAsia="仿宋_GB2312" w:cs="仿宋_GB2312"/>
          <w:color w:val="auto"/>
          <w:kern w:val="2"/>
          <w:sz w:val="32"/>
          <w:szCs w:val="32"/>
          <w:lang w:val="en-US" w:eastAsia="zh-CN"/>
        </w:rPr>
        <w:t>服务认证证书</w:t>
      </w:r>
      <w:r>
        <w:rPr>
          <w:rFonts w:hint="eastAsia" w:ascii="仿宋_GB2312" w:hAnsi="仿宋_GB2312" w:eastAsia="仿宋_GB2312" w:cs="仿宋_GB2312"/>
          <w:color w:val="auto"/>
          <w:kern w:val="2"/>
          <w:sz w:val="32"/>
          <w:szCs w:val="32"/>
        </w:rPr>
        <w:t>等级</w:t>
      </w:r>
      <w:r>
        <w:rPr>
          <w:rFonts w:hint="eastAsia" w:ascii="仿宋_GB2312" w:hAnsi="仿宋_GB2312" w:eastAsia="仿宋_GB2312" w:cs="仿宋_GB2312"/>
          <w:color w:val="auto"/>
          <w:kern w:val="2"/>
          <w:sz w:val="32"/>
          <w:szCs w:val="32"/>
          <w:lang w:val="en-US" w:eastAsia="zh-CN"/>
        </w:rPr>
        <w:t>保护测评服务认证</w:t>
      </w:r>
      <w:r>
        <w:rPr>
          <w:rFonts w:hint="eastAsia" w:ascii="仿宋_GB2312" w:hAnsi="仿宋_GB2312" w:eastAsia="仿宋_GB2312" w:cs="仿宋_GB2312"/>
          <w:color w:val="auto"/>
          <w:kern w:val="2"/>
          <w:sz w:val="32"/>
          <w:szCs w:val="32"/>
        </w:rPr>
        <w:t>》</w:t>
      </w:r>
      <w:r>
        <w:rPr>
          <w:rFonts w:hint="eastAsia" w:ascii="仿宋_GB2312" w:hAnsi="仿宋_GB2312" w:eastAsia="仿宋_GB2312" w:cs="仿宋_GB2312"/>
          <w:sz w:val="32"/>
          <w:szCs w:val="32"/>
        </w:rPr>
        <w:t>，并提供相关证书复印件。</w:t>
      </w:r>
    </w:p>
    <w:p>
      <w:pPr>
        <w:ind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项目要求供应商提供测评过程突发事件应急服务，能够快速应对测评过程突发事件，要求供应商在系统备案所在省具备实验室，并且实验室经过公安部第三研究所认可，须提供该实验室场地的租赁合同或采购买卖合同，并要求该实验室场所地址与</w:t>
      </w:r>
      <w:r>
        <w:rPr>
          <w:rFonts w:hint="eastAsia" w:ascii="仿宋_GB2312" w:hAnsi="仿宋_GB2312" w:eastAsia="仿宋_GB2312" w:cs="仿宋_GB2312"/>
          <w:kern w:val="2"/>
          <w:sz w:val="32"/>
          <w:szCs w:val="32"/>
        </w:rPr>
        <w:t>《网络安全</w:t>
      </w:r>
      <w:r>
        <w:rPr>
          <w:rFonts w:hint="eastAsia" w:ascii="仿宋_GB2312" w:hAnsi="仿宋_GB2312" w:eastAsia="仿宋_GB2312" w:cs="仿宋_GB2312"/>
          <w:kern w:val="2"/>
          <w:sz w:val="32"/>
          <w:szCs w:val="32"/>
          <w:lang w:val="en-US" w:eastAsia="zh-CN"/>
        </w:rPr>
        <w:t>服务认证证书</w:t>
      </w:r>
      <w:r>
        <w:rPr>
          <w:rFonts w:hint="eastAsia" w:ascii="仿宋_GB2312" w:hAnsi="仿宋_GB2312" w:eastAsia="仿宋_GB2312" w:cs="仿宋_GB2312"/>
          <w:kern w:val="2"/>
          <w:sz w:val="32"/>
          <w:szCs w:val="32"/>
        </w:rPr>
        <w:t>等级</w:t>
      </w:r>
      <w:r>
        <w:rPr>
          <w:rFonts w:hint="eastAsia" w:ascii="仿宋_GB2312" w:hAnsi="仿宋_GB2312" w:eastAsia="仿宋_GB2312" w:cs="仿宋_GB2312"/>
          <w:kern w:val="2"/>
          <w:sz w:val="32"/>
          <w:szCs w:val="32"/>
          <w:lang w:val="en-US" w:eastAsia="zh-CN"/>
        </w:rPr>
        <w:t>保护测评服务认证</w:t>
      </w:r>
      <w:r>
        <w:rPr>
          <w:rFonts w:hint="eastAsia" w:ascii="仿宋_GB2312" w:hAnsi="仿宋_GB2312" w:eastAsia="仿宋_GB2312" w:cs="仿宋_GB2312"/>
          <w:kern w:val="2"/>
          <w:sz w:val="32"/>
          <w:szCs w:val="32"/>
        </w:rPr>
        <w:t>》</w:t>
      </w:r>
      <w:r>
        <w:rPr>
          <w:rFonts w:hint="eastAsia" w:ascii="仿宋_GB2312" w:hAnsi="仿宋_GB2312" w:eastAsia="仿宋_GB2312" w:cs="仿宋_GB2312"/>
          <w:sz w:val="32"/>
          <w:szCs w:val="32"/>
        </w:rPr>
        <w:t>所列地址一致。</w:t>
      </w:r>
    </w:p>
    <w:p>
      <w:pPr>
        <w:ind w:firstLine="640" w:firstLineChars="200"/>
        <w:jc w:val="both"/>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提供代码审计服务须具备ccrc信息安全服务资质认证证书或相关安全服务案例。</w:t>
      </w:r>
    </w:p>
    <w:p>
      <w:pPr>
        <w:jc w:val="both"/>
        <w:rPr>
          <w:rFonts w:hint="eastAsia" w:ascii="黑体" w:hAnsi="黑体" w:eastAsia="黑体" w:cs="黑体"/>
          <w:sz w:val="32"/>
          <w:szCs w:val="32"/>
        </w:rPr>
      </w:pPr>
      <w:r>
        <w:rPr>
          <w:rFonts w:hint="eastAsia" w:ascii="黑体" w:hAnsi="黑体" w:eastAsia="黑体" w:cs="黑体"/>
          <w:sz w:val="32"/>
          <w:szCs w:val="32"/>
        </w:rPr>
        <w:t>三、测评对象</w:t>
      </w:r>
    </w:p>
    <w:p>
      <w:pPr>
        <w:ind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华兴业务管理系统（三级）。</w:t>
      </w:r>
    </w:p>
    <w:p>
      <w:pPr>
        <w:jc w:val="both"/>
        <w:rPr>
          <w:rFonts w:hint="eastAsia" w:ascii="黑体" w:hAnsi="黑体" w:eastAsia="黑体" w:cs="黑体"/>
          <w:sz w:val="32"/>
          <w:szCs w:val="32"/>
        </w:rPr>
      </w:pPr>
      <w:r>
        <w:rPr>
          <w:rFonts w:hint="eastAsia" w:ascii="黑体" w:hAnsi="黑体" w:eastAsia="黑体" w:cs="黑体"/>
          <w:sz w:val="32"/>
          <w:szCs w:val="32"/>
        </w:rPr>
        <w:t>四、服务期限</w:t>
      </w:r>
    </w:p>
    <w:p>
      <w:pPr>
        <w:ind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自合同签订生效之日起至2026年12月20日前完成上述系统测评工作，并取得通过的安全测评报告；自合同签订起一年内完成系统测评工作，并取得通过的安全测评报告。</w:t>
      </w:r>
    </w:p>
    <w:p>
      <w:pPr>
        <w:jc w:val="both"/>
        <w:rPr>
          <w:rFonts w:hint="eastAsia" w:ascii="黑体" w:hAnsi="黑体" w:eastAsia="黑体" w:cs="黑体"/>
          <w:sz w:val="32"/>
          <w:szCs w:val="32"/>
        </w:rPr>
      </w:pPr>
      <w:r>
        <w:rPr>
          <w:rFonts w:hint="eastAsia" w:ascii="黑体" w:hAnsi="黑体" w:eastAsia="黑体" w:cs="黑体"/>
          <w:sz w:val="32"/>
          <w:szCs w:val="32"/>
        </w:rPr>
        <w:t>五、服务要求</w:t>
      </w:r>
    </w:p>
    <w:p>
      <w:pPr>
        <w:ind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（一）等保测评服务</w:t>
      </w:r>
    </w:p>
    <w:p>
      <w:pPr>
        <w:ind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由等保测评单位，按照网络安全法及国家等级保护相关标准，对服务范围内的系统进行网络安全等级保护测评工作。</w:t>
      </w:r>
      <w:r>
        <w:rPr>
          <w:rFonts w:hint="eastAsia" w:ascii="仿宋_GB2312" w:hAnsi="仿宋_GB2312" w:eastAsia="仿宋_GB2312" w:cs="仿宋_GB2312"/>
          <w:sz w:val="32"/>
          <w:szCs w:val="32"/>
          <w:lang w:eastAsia="zh-CN"/>
        </w:rPr>
        <w:t>成交</w:t>
      </w:r>
      <w:r>
        <w:rPr>
          <w:rFonts w:hint="eastAsia" w:ascii="仿宋_GB2312" w:hAnsi="仿宋_GB2312" w:eastAsia="仿宋_GB2312" w:cs="仿宋_GB2312"/>
          <w:sz w:val="32"/>
          <w:szCs w:val="32"/>
        </w:rPr>
        <w:t>方应协助整改指导，直至通过公安机关认定备案等级的国家信息系统安全等级保护测评。</w:t>
      </w:r>
    </w:p>
    <w:p>
      <w:pPr>
        <w:ind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 测评内容</w:t>
      </w:r>
    </w:p>
    <w:p>
      <w:pPr>
        <w:ind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根据国家等级保护相关标准，本次项目的网络安全等级保护测评应包括以下内容：</w:t>
      </w:r>
    </w:p>
    <w:p>
      <w:pPr>
        <w:ind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安全技术测评：包括安全物理环境、安全通信网络、安全区域边界、安全计算环境、安全管理中心等五个方面的安全测评。</w:t>
      </w:r>
    </w:p>
    <w:p>
      <w:pPr>
        <w:ind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安全管理测评：包括安全管理制度、安全管理机构、安全管理人员、安全建设管理和安全运维管理等五个方面的安全测评。</w:t>
      </w:r>
    </w:p>
    <w:p>
      <w:pPr>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具体包括：</w:t>
      </w:r>
    </w:p>
    <w:p>
      <w:pPr>
        <w:ind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安全物理环境：对机房和办公场所的物理环境安全防护情况进行测评，包括物理位置选择、物理访问控制、防盗窃和防破坏、防雷击、防火、防水和防潮、防静电、温湿度控制、电力供应和电磁防护等方面的安全状况。</w:t>
      </w:r>
    </w:p>
    <w:p>
      <w:pPr>
        <w:ind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b）安全通信网络：对网络系统安全防护情况进行测评，包括网络架构、通信传输、可信验证等方面的安全状况。</w:t>
      </w:r>
    </w:p>
    <w:p>
      <w:pPr>
        <w:ind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c）安全区域边界：对边界防护、访问控制、入侵防范、恶意代码防范、安全审计、可信验证等方面的测评。</w:t>
      </w:r>
    </w:p>
    <w:p>
      <w:pPr>
        <w:ind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d）安全计算环境：对身份鉴别、访问控制、安全审计、入侵防范、恶意代码防范、可信验证、数据完整性、数据保密性、数据备份恢复、剩余信息保护、个人信息保护等方面的测评。</w:t>
      </w:r>
    </w:p>
    <w:p>
      <w:pPr>
        <w:ind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e）安全管理中心：对系统管理、审计管理、安全管理、集中管控等方面的测评。</w:t>
      </w:r>
    </w:p>
    <w:p>
      <w:pPr>
        <w:ind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f）安全管理制度：对安全策略、管理制度、制定和发布、评审和修订进行测评。</w:t>
      </w:r>
    </w:p>
    <w:p>
      <w:pPr>
        <w:ind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g）安全管理机构：对岗位设置、人员配备、授权和审批、沟通和合作、审核和检查等情况进行测评。</w:t>
      </w:r>
    </w:p>
    <w:p>
      <w:pPr>
        <w:ind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h）安全管理人员：对人员录用、人员离岗、安全意识教育和培训、外部人员访问管理等情况进行测评。</w:t>
      </w:r>
    </w:p>
    <w:p>
      <w:pPr>
        <w:ind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i）安全建设管理：对建设过程中安全方案设计、产品采购和使用、自行软件开发、外包软件开发、工程实施、测试验收、系统交付、等级测评、服务供应商选择等情况进行测评。</w:t>
      </w:r>
    </w:p>
    <w:p>
      <w:pPr>
        <w:ind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j）安全运维管理：对环境管理、资产管理、介质管理、设备维护管理、漏洞和风险管理、网络和系统安全管理、恶意代码防范管理、配置管理、密码管理、变更管理、备份与恢复管理、安全事件处置、应急预案管理、外包运维管理等情况进行测评。</w:t>
      </w:r>
    </w:p>
    <w:p>
      <w:pPr>
        <w:ind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 工具测试</w:t>
      </w:r>
    </w:p>
    <w:p>
      <w:pPr>
        <w:ind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针对重要信息系统进行漏洞扫描、渗透测试等安全服务工作。</w:t>
      </w:r>
    </w:p>
    <w:p>
      <w:pPr>
        <w:ind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 整改建议</w:t>
      </w:r>
    </w:p>
    <w:p>
      <w:pPr>
        <w:ind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供应商应根据现场测评中发现的问题，分析与GB/T22239-2019等行业最佳实践之间的差距，按照网络安全等级保护标准要求提出安全整改建议。</w:t>
      </w:r>
    </w:p>
    <w:p>
      <w:pPr>
        <w:ind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 编制测评报告</w:t>
      </w:r>
    </w:p>
    <w:p>
      <w:pPr>
        <w:ind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完成上述测评工作和整改加固实施后，供应商最后出具符合标准要求的信息系统网络安全等级保护测评报告。</w:t>
      </w:r>
    </w:p>
    <w:p>
      <w:pPr>
        <w:ind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 工作要求</w:t>
      </w:r>
    </w:p>
    <w:p>
      <w:pPr>
        <w:ind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（1）规范性原则：成交供应商工作中的过程和文档，具有很好的规范性，可以便于项目的跟踪和控制。</w:t>
      </w:r>
    </w:p>
    <w:p>
      <w:pPr>
        <w:ind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（2）标准性原则：测评方案的设计与实施应依据国家等级保护的相关标准进行。</w:t>
      </w:r>
    </w:p>
    <w:p>
      <w:pPr>
        <w:ind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（3）可控性原则：测评的工具、方法和过程需在双方认可的范围之内并符合进度表的安排，保证采购人对服务工作的可控性。</w:t>
      </w:r>
    </w:p>
    <w:p>
      <w:pPr>
        <w:ind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（4）整体性原则：测评和分析的范围和内容应当整体全面，包括安全涉及的各个层面，避免由于遗漏造成未来的安全隐患。</w:t>
      </w:r>
    </w:p>
    <w:p>
      <w:pPr>
        <w:ind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最小影响原则：测评工作应尽可能小的影响系统和网络的正常运行，不能对现网的运行和业务的正常提供产生显著影响（包括系统性能明显下降、网络拥塞、服务中断，如无法避免出现这些情况应在应答书上详细描述）。</w:t>
      </w:r>
    </w:p>
    <w:p>
      <w:pPr>
        <w:ind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（6）保密原则：对测评的过程数据和结果数据严格保密，未经授权不得透露给任何单位和个人，不得利用此数据进行任何侵害采购人网络的行为，否则采购人有权追究责任。</w:t>
      </w:r>
    </w:p>
    <w:p>
      <w:pPr>
        <w:ind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 测评依据</w:t>
      </w:r>
    </w:p>
    <w:p>
      <w:pPr>
        <w:ind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《信息安全技术 网络安全等级保护基本要求》（GB/T22239-2019）</w:t>
      </w:r>
    </w:p>
    <w:p>
      <w:pPr>
        <w:ind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《信息安全技术 网络安全等级保护定级指南》（GB/T22240-2020）</w:t>
      </w:r>
    </w:p>
    <w:p>
      <w:pPr>
        <w:ind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《信息安全技术 网络安全等级保护测评要求》（GB/T28448-2019）</w:t>
      </w:r>
    </w:p>
    <w:p>
      <w:pPr>
        <w:ind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《信息安全技术 网络安全等级保护测评过程指南》（GB/T28449-2018）</w:t>
      </w:r>
    </w:p>
    <w:p>
      <w:pPr>
        <w:ind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7. 项目实施要求</w:t>
      </w:r>
    </w:p>
    <w:p>
      <w:pPr>
        <w:ind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a）供应商应保证项目在采购人条件成熟时立即开展实施。</w:t>
      </w:r>
    </w:p>
    <w:p>
      <w:pPr>
        <w:ind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b）供应商在项目实施过程中应配合采购人的统一领导和协调，协助采购解决测评过程中可能发生的问题。</w:t>
      </w:r>
    </w:p>
    <w:p>
      <w:pPr>
        <w:ind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c）供应商需根据自己的工程实施经验结合采购人的实际需求进一步细化和完善实施方案，作为工程实施的指导性文件。</w:t>
      </w:r>
    </w:p>
    <w:p>
      <w:pPr>
        <w:ind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d）供应商应根据采购人工作需求、进度要求、实际情况制定详细的项目实施管理规范和项目实施计划，对项目目标、阶段性工作、项目组织机构、职责分工、项目进度、质量控制等内容进行详细的说明，以确保项目实施按时保质的完成。</w:t>
      </w:r>
    </w:p>
    <w:p>
      <w:pPr>
        <w:ind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e）在项目实施途中，供应商项目组人员未经采购人同意不得随意更换，等保测评项目小组成员不少于5人，项目负责人需由高级测评师担任，并派遣4名中级测评师分别负责主机层、应用层、数据层、网络层面的测评，提供测评师证书复印件，在网站http://www.djbh.net/能够查询人员相关信息（需提供相关证明材料），提供以上人员近6个月内任意一个月的社保证明（不含响应当月）。</w:t>
      </w:r>
    </w:p>
    <w:p>
      <w:pPr>
        <w:ind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（二）远程代码审计</w:t>
      </w:r>
    </w:p>
    <w:p>
      <w:pPr>
        <w:ind w:firstLine="640" w:firstLineChars="200"/>
        <w:jc w:val="both"/>
        <w:rPr>
          <w:rFonts w:hint="default" w:ascii="仿宋_GB2312" w:hAnsi="仿宋_GB2312" w:eastAsia="仿宋_GB2312" w:cs="仿宋_GB2312"/>
          <w:sz w:val="32"/>
          <w:szCs w:val="32"/>
          <w:woUserID w:val="1"/>
        </w:rPr>
      </w:pPr>
      <w:r>
        <w:rPr>
          <w:rFonts w:hint="default" w:ascii="仿宋_GB2312" w:hAnsi="仿宋_GB2312" w:eastAsia="仿宋_GB2312" w:cs="仿宋_GB2312"/>
          <w:sz w:val="32"/>
          <w:szCs w:val="32"/>
          <w:woUserID w:val="1"/>
        </w:rPr>
        <w:t>本次远程代码审计的工作范围即为本项目的测评对象。具体审计内容包括但不限于：</w:t>
      </w:r>
      <w:bookmarkStart w:id="0" w:name="_GoBack"/>
      <w:bookmarkEnd w:id="0"/>
    </w:p>
    <w:p>
      <w:pPr>
        <w:ind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a）检查安全漏洞（Web/应用安全）</w:t>
      </w:r>
    </w:p>
    <w:p>
      <w:pPr>
        <w:ind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SQL注入、XSS跨站脚本、命令注入、文件上传、文件包含、SSRF、反序列化、权限越权（水平/垂直越权）、硬编码密钥、密码明文存储、不安全加密、CSRF、业务逻辑漏洞等。</w:t>
      </w:r>
    </w:p>
    <w:p>
      <w:pPr>
        <w:ind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b）检查业务逻辑缺陷</w:t>
      </w:r>
    </w:p>
    <w:p>
      <w:pPr>
        <w:ind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支付逻辑漏洞、越权访问、重复提交、绕过校验、权限控制缺失、业务流程异常。</w:t>
      </w:r>
    </w:p>
    <w:p>
      <w:pPr>
        <w:ind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c）检查代码质量问题</w:t>
      </w:r>
    </w:p>
    <w:p>
      <w:pPr>
        <w:ind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内存泄漏、空指针、未捕获异常、资源未释放、死循环、并发问题。</w:t>
      </w:r>
    </w:p>
    <w:p>
      <w:pPr>
        <w:ind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d）检查合规问题</w:t>
      </w:r>
    </w:p>
    <w:p>
      <w:pPr>
        <w:ind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密码算法不符合等保、密钥硬编码、日志泄露敏感数据、违反隐私数据处理规范。</w:t>
      </w:r>
    </w:p>
    <w:p>
      <w:pPr>
        <w:jc w:val="both"/>
        <w:rPr>
          <w:rFonts w:hint="eastAsia" w:ascii="黑体" w:hAnsi="黑体" w:eastAsia="黑体" w:cs="黑体"/>
          <w:sz w:val="32"/>
          <w:szCs w:val="32"/>
        </w:rPr>
      </w:pPr>
      <w:r>
        <w:rPr>
          <w:rFonts w:hint="eastAsia" w:ascii="黑体" w:hAnsi="黑体" w:eastAsia="黑体" w:cs="黑体"/>
          <w:sz w:val="32"/>
          <w:szCs w:val="32"/>
        </w:rPr>
        <w:t>六、验收标准</w:t>
      </w:r>
    </w:p>
    <w:p>
      <w:pPr>
        <w:ind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本项目服务的验收将以成交供应商提交《测评报告》及《代码审计报告》，并在公安部登记管理系统填报结果为准。</w:t>
      </w:r>
    </w:p>
    <w:p>
      <w:pPr>
        <w:jc w:val="both"/>
        <w:rPr>
          <w:rFonts w:hint="eastAsia" w:ascii="黑体" w:hAnsi="黑体" w:eastAsia="黑体" w:cs="黑体"/>
          <w:sz w:val="32"/>
          <w:szCs w:val="32"/>
        </w:rPr>
      </w:pPr>
      <w:r>
        <w:rPr>
          <w:rFonts w:hint="eastAsia" w:ascii="黑体" w:hAnsi="黑体" w:eastAsia="黑体" w:cs="黑体"/>
          <w:sz w:val="32"/>
          <w:szCs w:val="32"/>
        </w:rPr>
        <w:t>七、付款条件</w:t>
      </w:r>
    </w:p>
    <w:p>
      <w:pPr>
        <w:ind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在服务期限内，取得由公安部第三研究所认定的</w:t>
      </w:r>
      <w:r>
        <w:rPr>
          <w:rFonts w:hint="eastAsia" w:ascii="仿宋_GB2312" w:hAnsi="仿宋_GB2312" w:eastAsia="仿宋_GB2312" w:cs="仿宋_GB2312"/>
          <w:kern w:val="2"/>
          <w:sz w:val="32"/>
          <w:szCs w:val="32"/>
        </w:rPr>
        <w:t>《网络安全</w:t>
      </w:r>
      <w:r>
        <w:rPr>
          <w:rFonts w:hint="eastAsia" w:ascii="仿宋_GB2312" w:hAnsi="仿宋_GB2312" w:eastAsia="仿宋_GB2312" w:cs="仿宋_GB2312"/>
          <w:kern w:val="2"/>
          <w:sz w:val="32"/>
          <w:szCs w:val="32"/>
          <w:lang w:val="en-US" w:eastAsia="zh-CN"/>
        </w:rPr>
        <w:t>服务认证证书</w:t>
      </w:r>
      <w:r>
        <w:rPr>
          <w:rFonts w:hint="eastAsia" w:ascii="仿宋_GB2312" w:hAnsi="仿宋_GB2312" w:eastAsia="仿宋_GB2312" w:cs="仿宋_GB2312"/>
          <w:kern w:val="2"/>
          <w:sz w:val="32"/>
          <w:szCs w:val="32"/>
        </w:rPr>
        <w:t>等级</w:t>
      </w:r>
      <w:r>
        <w:rPr>
          <w:rFonts w:hint="eastAsia" w:ascii="仿宋_GB2312" w:hAnsi="仿宋_GB2312" w:eastAsia="仿宋_GB2312" w:cs="仿宋_GB2312"/>
          <w:kern w:val="2"/>
          <w:sz w:val="32"/>
          <w:szCs w:val="32"/>
          <w:lang w:val="en-US" w:eastAsia="zh-CN"/>
        </w:rPr>
        <w:t>保护测评服务认证</w:t>
      </w:r>
      <w:r>
        <w:rPr>
          <w:rFonts w:hint="eastAsia" w:ascii="仿宋_GB2312" w:hAnsi="仿宋_GB2312" w:eastAsia="仿宋_GB2312" w:cs="仿宋_GB2312"/>
          <w:kern w:val="2"/>
          <w:sz w:val="32"/>
          <w:szCs w:val="32"/>
        </w:rPr>
        <w:t>》</w:t>
      </w:r>
      <w:r>
        <w:rPr>
          <w:rFonts w:hint="eastAsia" w:ascii="仿宋_GB2312" w:hAnsi="仿宋_GB2312" w:eastAsia="仿宋_GB2312" w:cs="仿宋_GB2312"/>
          <w:sz w:val="32"/>
          <w:szCs w:val="32"/>
        </w:rPr>
        <w:t>的测评单位出具的等级测评报告及代码审计报告，并通过上述系统的网络安全等级保护测评。满足上述全部条件后，支付100%</w:t>
      </w:r>
      <w:r>
        <w:rPr>
          <w:rFonts w:hint="eastAsia" w:ascii="仿宋_GB2312" w:hAnsi="仿宋_GB2312" w:eastAsia="仿宋_GB2312" w:cs="仿宋_GB2312"/>
          <w:sz w:val="32"/>
          <w:szCs w:val="32"/>
          <w:lang w:eastAsia="zh-CN"/>
        </w:rPr>
        <w:t>成交</w:t>
      </w:r>
      <w:r>
        <w:rPr>
          <w:rFonts w:hint="eastAsia" w:ascii="仿宋_GB2312" w:hAnsi="仿宋_GB2312" w:eastAsia="仿宋_GB2312" w:cs="仿宋_GB2312"/>
          <w:sz w:val="32"/>
          <w:szCs w:val="32"/>
        </w:rPr>
        <w:t>款。</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altName w:val="汉仪中黑KW"/>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altName w:val="Kingsoft Sign"/>
    <w:panose1 w:val="05050102010706020507"/>
    <w:charset w:val="02"/>
    <w:family w:val="roman"/>
    <w:pitch w:val="default"/>
    <w:sig w:usb0="00000000" w:usb1="00000000" w:usb2="00000000" w:usb3="00000000" w:csb0="80000000" w:csb1="00000000"/>
  </w:font>
  <w:font w:name="Calibri">
    <w:altName w:val="Arial"/>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00000000" w:usb2="00000000" w:usb3="00000000" w:csb0="80000000" w:csb1="00000000"/>
  </w:font>
  <w:font w:name="Arial">
    <w:panose1 w:val="020B0604020202020204"/>
    <w:charset w:val="00"/>
    <w:family w:val="auto"/>
    <w:pitch w:val="default"/>
    <w:sig w:usb0="E0002AFF" w:usb1="C0007843" w:usb2="00000009" w:usb3="00000000" w:csb0="400001FF" w:csb1="FFFF0000"/>
  </w:font>
  <w:font w:name="仿宋_GB2312">
    <w:panose1 w:val="02010609030101010101"/>
    <w:charset w:val="86"/>
    <w:family w:val="auto"/>
    <w:pitch w:val="default"/>
    <w:sig w:usb0="00000001" w:usb1="080E0000" w:usb2="00000000" w:usb3="00000000" w:csb0="00040000" w:csb1="00000000"/>
  </w:font>
  <w:font w:name="华文中宋">
    <w:panose1 w:val="02010600040101010101"/>
    <w:charset w:val="86"/>
    <w:family w:val="auto"/>
    <w:pitch w:val="default"/>
    <w:sig w:usb0="00000287" w:usb1="080F0000" w:usb2="00000000" w:usb3="00000000" w:csb0="0004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68F0FBF"/>
    <w:rsid w:val="1BA746AA"/>
    <w:rsid w:val="1F4A6B5B"/>
    <w:rsid w:val="20CB6E76"/>
    <w:rsid w:val="320E64C1"/>
    <w:rsid w:val="355D0618"/>
    <w:rsid w:val="3E7FDA0F"/>
    <w:rsid w:val="551C6D0B"/>
    <w:rsid w:val="55E06A7C"/>
    <w:rsid w:val="6D1F592D"/>
    <w:rsid w:val="74C7049A"/>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7</Pages>
  <Words>2811</Words>
  <Characters>2967</Characters>
  <Lines>0</Lines>
  <Paragraphs>0</Paragraphs>
  <TotalTime>11</TotalTime>
  <ScaleCrop>false</ScaleCrop>
  <LinksUpToDate>false</LinksUpToDate>
  <CharactersWithSpaces>2978</CharactersWithSpaces>
  <Application>WWO_wpscloud_20210617223217-4ac9ce438d</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2014-10-29T20:08:00Z</dcterms:created>
  <dc:creator>user</dc:creator>
  <cp:lastModifiedBy>爱不相信未来</cp:lastModifiedBy>
  <dcterms:modified xsi:type="dcterms:W3CDTF">2026-09-01T09:53:19Z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2052-0.0.0.0</vt:lpwstr>
  </property>
  <property fmtid="{D5CDD505-2E9C-101B-9397-08002B2CF9AE}" pid="3" name="ICV">
    <vt:lpwstr>5D3A6F03B1E941CA8F0E5243739598D1_12</vt:lpwstr>
  </property>
  <property fmtid="{D5CDD505-2E9C-101B-9397-08002B2CF9AE}" pid="4" name="KSOTemplateDocerSaveRecord">
    <vt:lpwstr>eyJoZGlkIjoiMmEwNDQ2YTY5ZjAwOGQ4YjA0MzQxYTExMTNiNmE2YWQiLCJ1c2VySWQiOiI0MTE1MTYzMjYifQ==</vt:lpwstr>
  </property>
</Properties>
</file>